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9415" w14:textId="77777777" w:rsidR="00ED00C3" w:rsidRDefault="00ED00C3" w:rsidP="00ED00C3">
      <w:pPr>
        <w:spacing w:line="244" w:lineRule="auto"/>
        <w:ind w:right="20"/>
        <w:jc w:val="center"/>
        <w:rPr>
          <w:b/>
          <w:sz w:val="22"/>
        </w:rPr>
      </w:pPr>
    </w:p>
    <w:p w14:paraId="4089B887" w14:textId="77777777" w:rsidR="00ED00C3" w:rsidRDefault="00ED00C3" w:rsidP="00ED00C3">
      <w:pPr>
        <w:spacing w:line="244" w:lineRule="auto"/>
        <w:ind w:right="20"/>
        <w:jc w:val="center"/>
        <w:rPr>
          <w:b/>
          <w:sz w:val="22"/>
        </w:rPr>
      </w:pPr>
    </w:p>
    <w:p w14:paraId="0B8139EE" w14:textId="16435592" w:rsidR="00ED00C3" w:rsidRDefault="00ED00C3" w:rsidP="00ED00C3">
      <w:pPr>
        <w:spacing w:line="244" w:lineRule="auto"/>
        <w:ind w:right="20"/>
        <w:jc w:val="center"/>
        <w:rPr>
          <w:b/>
          <w:sz w:val="22"/>
        </w:rPr>
      </w:pPr>
      <w:r>
        <w:rPr>
          <w:b/>
          <w:sz w:val="22"/>
        </w:rPr>
        <w:t xml:space="preserve">KATALOG KOSZTÓW NIEDOZWOLONYCH W BUDŻETACH WDROŻENIOWYCH ZAWARTYCH W PROJEKTACH INNOWACJI W ZWIĄZKU ZE SPECYFIKĄ GRANTU NA OPRACOWANIE I TESTOWANIE INNOWACJI SPOŁECZNYCH W INKUBATORZE </w:t>
      </w:r>
      <w:r>
        <w:rPr>
          <w:b/>
          <w:sz w:val="22"/>
        </w:rPr>
        <w:t>„WŁĄCZNIK INNOWACJI SPOŁECZNYCH”</w:t>
      </w:r>
    </w:p>
    <w:p w14:paraId="77982717" w14:textId="77777777" w:rsidR="00ED00C3" w:rsidRDefault="00ED00C3" w:rsidP="00ED00C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209013" w14:textId="77777777" w:rsidR="00ED00C3" w:rsidRDefault="00ED00C3" w:rsidP="00ED00C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43DFFA" w14:textId="77777777" w:rsidR="00ED00C3" w:rsidRDefault="00ED00C3" w:rsidP="00ED00C3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4DF440B4" w14:textId="5E092A9F" w:rsidR="00ED00C3" w:rsidRDefault="00ED00C3" w:rsidP="00ED00C3">
      <w:pPr>
        <w:spacing w:line="254" w:lineRule="auto"/>
        <w:jc w:val="both"/>
        <w:rPr>
          <w:sz w:val="22"/>
        </w:rPr>
      </w:pPr>
      <w:r>
        <w:rPr>
          <w:sz w:val="22"/>
        </w:rPr>
        <w:t>Zgodnie z założeniami przedstawionymi w Procedurach realizacji projektu grantowego „</w:t>
      </w:r>
      <w:r w:rsidR="00803F6B">
        <w:rPr>
          <w:sz w:val="22"/>
        </w:rPr>
        <w:t>Włącznik Innowacji Społecznych</w:t>
      </w:r>
      <w:r>
        <w:rPr>
          <w:sz w:val="22"/>
        </w:rPr>
        <w:t>” grantobiorca nie może przeznaczyć grantu na pokrycie kosztów:</w:t>
      </w:r>
    </w:p>
    <w:p w14:paraId="2E630CCA" w14:textId="77777777" w:rsidR="00ED00C3" w:rsidRDefault="00ED00C3" w:rsidP="00ED00C3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28EE5B3B" w14:textId="77777777" w:rsidR="00ED00C3" w:rsidRDefault="00ED00C3" w:rsidP="00ED00C3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4"/>
        <w:rPr>
          <w:b/>
          <w:sz w:val="22"/>
        </w:rPr>
      </w:pPr>
      <w:r>
        <w:rPr>
          <w:b/>
          <w:sz w:val="22"/>
        </w:rPr>
        <w:t>Administrowania grantem</w:t>
      </w:r>
      <w:r>
        <w:rPr>
          <w:sz w:val="22"/>
        </w:rPr>
        <w:t>, w tym w szczególności w ramach wydatków obejmujących:</w:t>
      </w:r>
    </w:p>
    <w:p w14:paraId="5B2EA29A" w14:textId="77777777" w:rsidR="00ED00C3" w:rsidRDefault="00ED00C3" w:rsidP="00ED00C3">
      <w:pPr>
        <w:spacing w:line="90" w:lineRule="exact"/>
        <w:rPr>
          <w:b/>
          <w:sz w:val="22"/>
        </w:rPr>
      </w:pPr>
    </w:p>
    <w:p w14:paraId="2720C251" w14:textId="77777777" w:rsidR="00ED00C3" w:rsidRDefault="00ED00C3" w:rsidP="00ED00C3">
      <w:pPr>
        <w:numPr>
          <w:ilvl w:val="1"/>
          <w:numId w:val="1"/>
        </w:numPr>
        <w:tabs>
          <w:tab w:val="left" w:pos="1198"/>
        </w:tabs>
        <w:spacing w:line="261" w:lineRule="auto"/>
        <w:ind w:left="1080" w:hanging="4"/>
        <w:jc w:val="both"/>
        <w:rPr>
          <w:sz w:val="22"/>
        </w:rPr>
      </w:pPr>
      <w:r>
        <w:rPr>
          <w:sz w:val="22"/>
        </w:rPr>
        <w:t>koszty wynagrodzenia, delegacji służbowych i szkoleń osób zarządzających procesem opracowywania i testowania innowacji społecznej oraz innego personelu bezpośrednio zaangażowanego w zarządzanie grantem, monitorowanie grantu, oraz jego rozliczanie, koszty zarządu</w:t>
      </w:r>
    </w:p>
    <w:p w14:paraId="2ECB6522" w14:textId="77777777" w:rsidR="00ED00C3" w:rsidRDefault="00ED00C3" w:rsidP="00ED00C3">
      <w:pPr>
        <w:spacing w:line="67" w:lineRule="exact"/>
        <w:rPr>
          <w:sz w:val="22"/>
        </w:rPr>
      </w:pPr>
    </w:p>
    <w:p w14:paraId="4BF39CAC" w14:textId="77777777" w:rsidR="00ED00C3" w:rsidRDefault="00ED00C3" w:rsidP="00ED00C3">
      <w:pPr>
        <w:numPr>
          <w:ilvl w:val="1"/>
          <w:numId w:val="1"/>
        </w:numPr>
        <w:tabs>
          <w:tab w:val="left" w:pos="1198"/>
        </w:tabs>
        <w:spacing w:line="253" w:lineRule="auto"/>
        <w:ind w:left="1080" w:right="900" w:hanging="4"/>
        <w:jc w:val="both"/>
        <w:rPr>
          <w:sz w:val="21"/>
        </w:rPr>
      </w:pPr>
      <w:r>
        <w:rPr>
          <w:sz w:val="21"/>
        </w:rPr>
        <w:t>koszty personelu obsługowego (obsługa kadrowa, finansowa, administracyjna, sekretariat, kancelaria, obsługa prawna) na potrzeby funkcjonowania jednostki,</w:t>
      </w:r>
    </w:p>
    <w:p w14:paraId="5BCE4BB9" w14:textId="77777777" w:rsidR="00ED00C3" w:rsidRDefault="00ED00C3" w:rsidP="00ED00C3">
      <w:pPr>
        <w:spacing w:line="27" w:lineRule="exact"/>
        <w:rPr>
          <w:sz w:val="21"/>
        </w:rPr>
      </w:pPr>
    </w:p>
    <w:p w14:paraId="143BDEDD" w14:textId="77777777" w:rsidR="00ED00C3" w:rsidRDefault="00ED00C3" w:rsidP="00ED00C3">
      <w:pPr>
        <w:numPr>
          <w:ilvl w:val="1"/>
          <w:numId w:val="1"/>
        </w:numPr>
        <w:tabs>
          <w:tab w:val="left" w:pos="1200"/>
        </w:tabs>
        <w:spacing w:line="0" w:lineRule="atLeast"/>
        <w:ind w:left="1200" w:hanging="124"/>
        <w:rPr>
          <w:sz w:val="22"/>
        </w:rPr>
      </w:pPr>
      <w:r>
        <w:rPr>
          <w:sz w:val="22"/>
        </w:rPr>
        <w:t>koszty obsługi księgowej (koszty wynagrodzenia osób księgujących wydatki</w:t>
      </w:r>
    </w:p>
    <w:p w14:paraId="57E171EA" w14:textId="77777777" w:rsidR="00ED00C3" w:rsidRDefault="00ED00C3" w:rsidP="00ED00C3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7EDC0F98" w14:textId="77777777" w:rsidR="00ED00C3" w:rsidRDefault="00ED00C3" w:rsidP="00ED00C3">
      <w:pPr>
        <w:spacing w:line="235" w:lineRule="auto"/>
        <w:ind w:left="1080" w:right="1040"/>
        <w:rPr>
          <w:sz w:val="22"/>
        </w:rPr>
      </w:pPr>
      <w:r>
        <w:rPr>
          <w:sz w:val="22"/>
        </w:rPr>
        <w:t>związane z powierzony</w:t>
      </w:r>
      <w:bookmarkStart w:id="0" w:name="_GoBack"/>
      <w:bookmarkEnd w:id="0"/>
      <w:r>
        <w:rPr>
          <w:sz w:val="22"/>
        </w:rPr>
        <w:t>m grantem, w tym koszty zlecenia prowadzenia obsługi księgowej biuru rachunkowemu),</w:t>
      </w:r>
    </w:p>
    <w:p w14:paraId="5B4F4882" w14:textId="77777777" w:rsidR="00ED00C3" w:rsidRDefault="00ED00C3" w:rsidP="00ED00C3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0B9D7AAC" w14:textId="77777777" w:rsidR="00ED00C3" w:rsidRDefault="00ED00C3" w:rsidP="00ED00C3">
      <w:pPr>
        <w:numPr>
          <w:ilvl w:val="0"/>
          <w:numId w:val="2"/>
        </w:numPr>
        <w:tabs>
          <w:tab w:val="left" w:pos="1200"/>
        </w:tabs>
        <w:spacing w:line="0" w:lineRule="atLeast"/>
        <w:ind w:left="1200" w:hanging="124"/>
        <w:rPr>
          <w:sz w:val="22"/>
        </w:rPr>
      </w:pPr>
      <w:r>
        <w:rPr>
          <w:sz w:val="22"/>
        </w:rPr>
        <w:t>amortyzacja, najem lub zakup aktywów (środków trwałych i wartości</w:t>
      </w:r>
    </w:p>
    <w:p w14:paraId="3377CAFD" w14:textId="77777777" w:rsidR="00ED00C3" w:rsidRDefault="00ED00C3" w:rsidP="00ED00C3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15B30FB9" w14:textId="77777777" w:rsidR="00ED00C3" w:rsidRDefault="00ED00C3" w:rsidP="00ED00C3">
      <w:pPr>
        <w:spacing w:line="235" w:lineRule="auto"/>
        <w:ind w:left="1080"/>
        <w:rPr>
          <w:sz w:val="22"/>
        </w:rPr>
      </w:pPr>
      <w:r>
        <w:rPr>
          <w:sz w:val="22"/>
        </w:rPr>
        <w:t>niematerialnych i prawnych) używanych na potrzeby osób, o których mowa wyżej, tiret 1,2 i 3</w:t>
      </w:r>
    </w:p>
    <w:p w14:paraId="116EEE72" w14:textId="77777777" w:rsidR="00ED00C3" w:rsidRDefault="00ED00C3" w:rsidP="00ED00C3">
      <w:pPr>
        <w:spacing w:line="91" w:lineRule="exact"/>
        <w:rPr>
          <w:rFonts w:ascii="Times New Roman" w:eastAsia="Times New Roman" w:hAnsi="Times New Roman"/>
          <w:sz w:val="24"/>
        </w:rPr>
      </w:pPr>
    </w:p>
    <w:p w14:paraId="67BE54C4" w14:textId="77777777" w:rsidR="00ED00C3" w:rsidRDefault="00ED00C3" w:rsidP="00ED00C3">
      <w:pPr>
        <w:numPr>
          <w:ilvl w:val="0"/>
          <w:numId w:val="3"/>
        </w:numPr>
        <w:tabs>
          <w:tab w:val="left" w:pos="1198"/>
        </w:tabs>
        <w:spacing w:line="236" w:lineRule="auto"/>
        <w:ind w:left="1080" w:right="580" w:hanging="4"/>
        <w:rPr>
          <w:sz w:val="22"/>
        </w:rPr>
      </w:pPr>
      <w:r>
        <w:rPr>
          <w:sz w:val="22"/>
        </w:rPr>
        <w:t>koszty utrzymania powierzchni biurowych (czynsz, najem, opłaty administracyjne) związanych z obsługą administracyjną grantu,</w:t>
      </w:r>
    </w:p>
    <w:p w14:paraId="0BC6DCBE" w14:textId="77777777" w:rsidR="00ED00C3" w:rsidRDefault="00ED00C3" w:rsidP="00ED00C3">
      <w:pPr>
        <w:spacing w:line="88" w:lineRule="exact"/>
        <w:rPr>
          <w:sz w:val="22"/>
        </w:rPr>
      </w:pPr>
    </w:p>
    <w:p w14:paraId="670F09F6" w14:textId="77777777" w:rsidR="00ED00C3" w:rsidRDefault="00ED00C3" w:rsidP="00ED00C3">
      <w:pPr>
        <w:numPr>
          <w:ilvl w:val="0"/>
          <w:numId w:val="3"/>
        </w:numPr>
        <w:tabs>
          <w:tab w:val="left" w:pos="1198"/>
        </w:tabs>
        <w:spacing w:line="236" w:lineRule="auto"/>
        <w:ind w:left="1080" w:right="200" w:hanging="4"/>
        <w:rPr>
          <w:sz w:val="22"/>
        </w:rPr>
      </w:pPr>
      <w:r>
        <w:rPr>
          <w:sz w:val="22"/>
        </w:rPr>
        <w:t>koszty opłat za energię elektryczną, cieplną, gazową i wodę, opłaty przesyłowe, opłaty za odprowadzanie ścieków w zakresie związanym z obsługą administracyjną</w:t>
      </w:r>
    </w:p>
    <w:p w14:paraId="46FE1143" w14:textId="77777777" w:rsidR="00ED00C3" w:rsidRDefault="00ED00C3" w:rsidP="00ED00C3">
      <w:pPr>
        <w:spacing w:line="42" w:lineRule="exact"/>
        <w:rPr>
          <w:sz w:val="22"/>
        </w:rPr>
      </w:pPr>
    </w:p>
    <w:p w14:paraId="1BE90A96" w14:textId="77777777" w:rsidR="00ED00C3" w:rsidRDefault="00ED00C3" w:rsidP="00ED00C3">
      <w:pPr>
        <w:spacing w:line="0" w:lineRule="atLeast"/>
        <w:ind w:left="1080"/>
        <w:rPr>
          <w:sz w:val="22"/>
        </w:rPr>
      </w:pPr>
      <w:r>
        <w:rPr>
          <w:sz w:val="22"/>
        </w:rPr>
        <w:t>grantu,</w:t>
      </w:r>
    </w:p>
    <w:p w14:paraId="5647EEC3" w14:textId="77777777" w:rsidR="00ED00C3" w:rsidRDefault="00ED00C3" w:rsidP="00ED00C3">
      <w:pPr>
        <w:spacing w:line="38" w:lineRule="exact"/>
        <w:rPr>
          <w:sz w:val="22"/>
        </w:rPr>
      </w:pPr>
    </w:p>
    <w:p w14:paraId="209F999D" w14:textId="77777777" w:rsidR="00ED00C3" w:rsidRDefault="00ED00C3" w:rsidP="00ED00C3">
      <w:pPr>
        <w:numPr>
          <w:ilvl w:val="0"/>
          <w:numId w:val="3"/>
        </w:numPr>
        <w:tabs>
          <w:tab w:val="left" w:pos="1200"/>
        </w:tabs>
        <w:spacing w:line="0" w:lineRule="atLeast"/>
        <w:ind w:left="1200" w:hanging="124"/>
        <w:rPr>
          <w:sz w:val="22"/>
        </w:rPr>
      </w:pPr>
      <w:r>
        <w:rPr>
          <w:sz w:val="22"/>
        </w:rPr>
        <w:t>koszty związane z otworzeniem lub prowadzeniem rachunku bankowego,</w:t>
      </w:r>
    </w:p>
    <w:p w14:paraId="25D4EFA8" w14:textId="77777777" w:rsidR="00ED00C3" w:rsidRDefault="00ED00C3" w:rsidP="00ED00C3">
      <w:pPr>
        <w:spacing w:line="41" w:lineRule="exact"/>
        <w:rPr>
          <w:sz w:val="22"/>
        </w:rPr>
      </w:pPr>
    </w:p>
    <w:p w14:paraId="74FACEC7" w14:textId="77777777" w:rsidR="00ED00C3" w:rsidRDefault="00ED00C3" w:rsidP="00ED00C3">
      <w:pPr>
        <w:numPr>
          <w:ilvl w:val="0"/>
          <w:numId w:val="3"/>
        </w:numPr>
        <w:tabs>
          <w:tab w:val="left" w:pos="1200"/>
        </w:tabs>
        <w:spacing w:line="0" w:lineRule="atLeast"/>
        <w:ind w:left="1200" w:hanging="124"/>
        <w:rPr>
          <w:sz w:val="22"/>
        </w:rPr>
      </w:pPr>
      <w:r>
        <w:rPr>
          <w:sz w:val="22"/>
        </w:rPr>
        <w:t>koszty usług pocztowych, telefonicznych, internetowych, kurierskich związanych</w:t>
      </w:r>
    </w:p>
    <w:p w14:paraId="54DBA4D3" w14:textId="77777777" w:rsidR="00ED00C3" w:rsidRDefault="00ED00C3" w:rsidP="00ED00C3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094F084D" w14:textId="77777777" w:rsidR="00ED00C3" w:rsidRDefault="00ED00C3" w:rsidP="00ED00C3">
      <w:pPr>
        <w:spacing w:line="0" w:lineRule="atLeast"/>
        <w:ind w:left="1080"/>
        <w:rPr>
          <w:sz w:val="22"/>
        </w:rPr>
      </w:pPr>
      <w:r>
        <w:rPr>
          <w:sz w:val="22"/>
        </w:rPr>
        <w:t>z obsługą administracyjną grantu,</w:t>
      </w:r>
    </w:p>
    <w:p w14:paraId="37FE16B0" w14:textId="77777777" w:rsidR="00ED00C3" w:rsidRDefault="00ED00C3" w:rsidP="00ED00C3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29B937EE" w14:textId="77777777" w:rsidR="00ED00C3" w:rsidRDefault="00ED00C3" w:rsidP="00ED00C3">
      <w:pPr>
        <w:numPr>
          <w:ilvl w:val="1"/>
          <w:numId w:val="4"/>
        </w:numPr>
        <w:tabs>
          <w:tab w:val="left" w:pos="1243"/>
        </w:tabs>
        <w:spacing w:line="253" w:lineRule="auto"/>
        <w:ind w:left="1080" w:hanging="4"/>
        <w:rPr>
          <w:sz w:val="22"/>
        </w:rPr>
      </w:pPr>
      <w:r>
        <w:rPr>
          <w:sz w:val="22"/>
        </w:rPr>
        <w:t>koszty usług powielania dokumentów związanych z obsługą administracyjną grantu, koszty materiałów biurowych i artykułów piśmienniczych związanych z obsługą administracyjną grantu</w:t>
      </w:r>
    </w:p>
    <w:p w14:paraId="41A35EB5" w14:textId="77777777" w:rsidR="00ED00C3" w:rsidRDefault="00ED00C3" w:rsidP="00ED00C3">
      <w:pPr>
        <w:spacing w:line="28" w:lineRule="exact"/>
        <w:rPr>
          <w:sz w:val="22"/>
        </w:rPr>
      </w:pPr>
    </w:p>
    <w:p w14:paraId="337516E7" w14:textId="77777777" w:rsidR="00ED00C3" w:rsidRDefault="00ED00C3" w:rsidP="00ED00C3">
      <w:pPr>
        <w:numPr>
          <w:ilvl w:val="1"/>
          <w:numId w:val="4"/>
        </w:numPr>
        <w:tabs>
          <w:tab w:val="left" w:pos="1200"/>
        </w:tabs>
        <w:spacing w:line="0" w:lineRule="atLeast"/>
        <w:ind w:left="1200" w:hanging="124"/>
        <w:rPr>
          <w:sz w:val="22"/>
        </w:rPr>
      </w:pPr>
      <w:r>
        <w:rPr>
          <w:sz w:val="22"/>
        </w:rPr>
        <w:t>koszty ubezpieczeń majątkowych.</w:t>
      </w:r>
    </w:p>
    <w:p w14:paraId="2DFC6AE5" w14:textId="77777777" w:rsidR="00ED00C3" w:rsidRDefault="00ED00C3" w:rsidP="00ED00C3">
      <w:pPr>
        <w:spacing w:line="87" w:lineRule="exact"/>
        <w:rPr>
          <w:sz w:val="22"/>
        </w:rPr>
      </w:pPr>
    </w:p>
    <w:p w14:paraId="479D97E7" w14:textId="77777777" w:rsidR="00ED00C3" w:rsidRDefault="00ED00C3" w:rsidP="00ED00C3">
      <w:pPr>
        <w:numPr>
          <w:ilvl w:val="0"/>
          <w:numId w:val="4"/>
        </w:numPr>
        <w:tabs>
          <w:tab w:val="left" w:pos="1080"/>
        </w:tabs>
        <w:spacing w:line="268" w:lineRule="auto"/>
        <w:ind w:left="1080" w:hanging="724"/>
        <w:jc w:val="both"/>
        <w:rPr>
          <w:b/>
          <w:sz w:val="22"/>
        </w:rPr>
      </w:pPr>
      <w:r>
        <w:rPr>
          <w:b/>
          <w:sz w:val="22"/>
        </w:rPr>
        <w:t>Promowania innowacji społecznej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>w tym w szczególności koszty</w:t>
      </w:r>
      <w:r>
        <w:rPr>
          <w:b/>
          <w:sz w:val="22"/>
        </w:rPr>
        <w:t xml:space="preserve"> </w:t>
      </w:r>
      <w:r>
        <w:rPr>
          <w:sz w:val="22"/>
        </w:rPr>
        <w:t>podejmowania działań</w:t>
      </w:r>
      <w:r>
        <w:rPr>
          <w:b/>
          <w:sz w:val="22"/>
        </w:rPr>
        <w:t xml:space="preserve"> </w:t>
      </w:r>
      <w:r>
        <w:rPr>
          <w:sz w:val="22"/>
        </w:rPr>
        <w:t>związanych z informacją i promocją innowacji społecznej (takich jak np. zakup materiałów promocyjnych i informacyjnych, zakup ogłoszeń prasowych, zakup reklam, utworzenie i prowadzenie strony internetowej informującej o działaniach związanych z innowacją społeczną, tworzenie identyfikacji wizualnej i oznakowanie, koszty plakatów i ulotek, organizacja wydarzeń promocyjnych, koszty zatrudnienia osób realizujących działania informacyjno-promocyjne, itp.)</w:t>
      </w:r>
    </w:p>
    <w:p w14:paraId="24388A15" w14:textId="4BA5FCCD" w:rsidR="00D26CCE" w:rsidRDefault="00D26CCE"/>
    <w:p w14:paraId="68F6859F" w14:textId="77777777" w:rsidR="00D26CCE" w:rsidRPr="00D26CCE" w:rsidRDefault="00D26CCE" w:rsidP="00D26CCE"/>
    <w:p w14:paraId="0FE0F4BB" w14:textId="77777777" w:rsidR="00D26CCE" w:rsidRPr="00D26CCE" w:rsidRDefault="00D26CCE" w:rsidP="00D26CCE"/>
    <w:p w14:paraId="1BFBF880" w14:textId="77777777" w:rsidR="00D26CCE" w:rsidRPr="00D26CCE" w:rsidRDefault="00D26CCE" w:rsidP="00D26CCE"/>
    <w:p w14:paraId="1C4C7895" w14:textId="77777777" w:rsidR="00ED00C3" w:rsidRDefault="00ED00C3" w:rsidP="00ED00C3">
      <w:pPr>
        <w:spacing w:line="338" w:lineRule="exact"/>
        <w:rPr>
          <w:rFonts w:ascii="Times New Roman" w:eastAsia="Times New Roman" w:hAnsi="Times New Roman"/>
        </w:rPr>
      </w:pPr>
    </w:p>
    <w:p w14:paraId="3CBAAE97" w14:textId="77777777" w:rsidR="00ED00C3" w:rsidRDefault="00ED00C3" w:rsidP="00ED00C3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724"/>
        <w:rPr>
          <w:b/>
          <w:sz w:val="22"/>
        </w:rPr>
      </w:pPr>
      <w:r>
        <w:rPr>
          <w:b/>
          <w:sz w:val="22"/>
        </w:rPr>
        <w:t>Ewaluacji innowacji społecznej</w:t>
      </w:r>
    </w:p>
    <w:p w14:paraId="60C8B51D" w14:textId="77777777" w:rsidR="00ED00C3" w:rsidRDefault="00ED00C3" w:rsidP="00ED00C3">
      <w:pPr>
        <w:spacing w:line="39" w:lineRule="exact"/>
        <w:rPr>
          <w:rFonts w:ascii="Times New Roman" w:eastAsia="Times New Roman" w:hAnsi="Times New Roman"/>
        </w:rPr>
      </w:pPr>
    </w:p>
    <w:p w14:paraId="0ED906B6" w14:textId="77777777" w:rsidR="00ED00C3" w:rsidRDefault="00ED00C3" w:rsidP="00ED00C3">
      <w:pPr>
        <w:tabs>
          <w:tab w:val="left" w:pos="1040"/>
        </w:tabs>
        <w:spacing w:line="0" w:lineRule="atLeast"/>
        <w:ind w:left="340"/>
        <w:rPr>
          <w:sz w:val="22"/>
        </w:rPr>
      </w:pPr>
      <w:r>
        <w:rPr>
          <w:b/>
          <w:sz w:val="22"/>
        </w:rPr>
        <w:t>IV.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 xml:space="preserve">Upowszechniania innowacji społecznej, </w:t>
      </w:r>
      <w:r>
        <w:rPr>
          <w:sz w:val="22"/>
        </w:rPr>
        <w:t>w tym</w:t>
      </w:r>
      <w:r>
        <w:rPr>
          <w:b/>
          <w:sz w:val="22"/>
        </w:rPr>
        <w:t xml:space="preserve"> </w:t>
      </w:r>
      <w:r>
        <w:rPr>
          <w:sz w:val="22"/>
        </w:rPr>
        <w:t>w szczególności kosztów</w:t>
      </w:r>
      <w:r>
        <w:rPr>
          <w:b/>
          <w:sz w:val="22"/>
        </w:rPr>
        <w:t xml:space="preserve"> </w:t>
      </w:r>
      <w:r>
        <w:rPr>
          <w:sz w:val="22"/>
        </w:rPr>
        <w:t>organizowania</w:t>
      </w:r>
    </w:p>
    <w:p w14:paraId="36E31A2F" w14:textId="77777777" w:rsidR="00ED00C3" w:rsidRDefault="00ED00C3" w:rsidP="00ED00C3">
      <w:pPr>
        <w:spacing w:line="90" w:lineRule="exact"/>
        <w:rPr>
          <w:rFonts w:ascii="Times New Roman" w:eastAsia="Times New Roman" w:hAnsi="Times New Roman"/>
        </w:rPr>
      </w:pPr>
    </w:p>
    <w:p w14:paraId="41703B0A" w14:textId="77777777" w:rsidR="00ED00C3" w:rsidRDefault="00ED00C3" w:rsidP="00ED00C3">
      <w:pPr>
        <w:spacing w:line="236" w:lineRule="auto"/>
        <w:ind w:left="1060"/>
        <w:rPr>
          <w:sz w:val="22"/>
        </w:rPr>
      </w:pPr>
      <w:r>
        <w:rPr>
          <w:sz w:val="22"/>
        </w:rPr>
        <w:t>wydarzeń upowszechniających, akcji informacyjnych, powielania i dystrybucji produktów wdrożeniowych</w:t>
      </w:r>
    </w:p>
    <w:p w14:paraId="0995D0CB" w14:textId="77777777" w:rsidR="00ED00C3" w:rsidRDefault="00ED00C3" w:rsidP="00ED00C3">
      <w:pPr>
        <w:spacing w:line="89" w:lineRule="exact"/>
        <w:rPr>
          <w:rFonts w:ascii="Times New Roman" w:eastAsia="Times New Roman" w:hAnsi="Times New Roman"/>
        </w:rPr>
      </w:pPr>
    </w:p>
    <w:p w14:paraId="5377AD46" w14:textId="77777777" w:rsidR="00ED00C3" w:rsidRDefault="00ED00C3" w:rsidP="00ED00C3">
      <w:pPr>
        <w:numPr>
          <w:ilvl w:val="0"/>
          <w:numId w:val="6"/>
        </w:numPr>
        <w:tabs>
          <w:tab w:val="left" w:pos="1060"/>
        </w:tabs>
        <w:spacing w:line="236" w:lineRule="auto"/>
        <w:ind w:left="1060" w:hanging="724"/>
        <w:rPr>
          <w:b/>
          <w:sz w:val="22"/>
        </w:rPr>
      </w:pPr>
      <w:r>
        <w:rPr>
          <w:b/>
          <w:sz w:val="22"/>
        </w:rPr>
        <w:t xml:space="preserve">Inwestycji i zakupu środków trwałych, </w:t>
      </w:r>
      <w:r>
        <w:rPr>
          <w:sz w:val="22"/>
        </w:rPr>
        <w:t>których trwałość przekracza czas przewidziany na</w:t>
      </w:r>
      <w:r>
        <w:rPr>
          <w:b/>
          <w:sz w:val="22"/>
        </w:rPr>
        <w:t xml:space="preserve"> </w:t>
      </w:r>
      <w:r>
        <w:rPr>
          <w:sz w:val="22"/>
        </w:rPr>
        <w:t>opracowanie i testowanie innowacji społecznej</w:t>
      </w:r>
    </w:p>
    <w:p w14:paraId="313F32BE" w14:textId="13BCDE48" w:rsidR="00ED00C3" w:rsidRDefault="00ED00C3" w:rsidP="00ED00C3">
      <w:pPr>
        <w:spacing w:line="20" w:lineRule="exact"/>
        <w:rPr>
          <w:rFonts w:ascii="Times New Roman" w:eastAsia="Times New Roman" w:hAnsi="Times New Roman"/>
        </w:rPr>
      </w:pPr>
    </w:p>
    <w:p w14:paraId="3A510404" w14:textId="77777777" w:rsidR="00D26CCE" w:rsidRPr="00D26CCE" w:rsidRDefault="00D26CCE" w:rsidP="00D26CCE"/>
    <w:p w14:paraId="029D256F" w14:textId="77777777" w:rsidR="00D26CCE" w:rsidRPr="00D26CCE" w:rsidRDefault="00D26CCE" w:rsidP="00D26CCE"/>
    <w:p w14:paraId="798C7605" w14:textId="77777777" w:rsidR="00D26CCE" w:rsidRPr="00D26CCE" w:rsidRDefault="00D26CCE" w:rsidP="00D26CCE"/>
    <w:p w14:paraId="22835F24" w14:textId="77777777" w:rsidR="00D26CCE" w:rsidRPr="00D26CCE" w:rsidRDefault="00D26CCE" w:rsidP="00D26CCE"/>
    <w:p w14:paraId="17C9C58B" w14:textId="77777777" w:rsidR="00D26CCE" w:rsidRPr="00D26CCE" w:rsidRDefault="00D26CCE" w:rsidP="00D26CCE"/>
    <w:p w14:paraId="137CC9A2" w14:textId="77777777" w:rsidR="00D26CCE" w:rsidRPr="00D26CCE" w:rsidRDefault="00D26CCE" w:rsidP="00D26CCE"/>
    <w:p w14:paraId="5D10BC80" w14:textId="77777777" w:rsidR="00D26CCE" w:rsidRPr="00D26CCE" w:rsidRDefault="00D26CCE" w:rsidP="00D26CCE"/>
    <w:p w14:paraId="690FF170" w14:textId="77777777" w:rsidR="00D26CCE" w:rsidRPr="00D26CCE" w:rsidRDefault="00D26CCE" w:rsidP="00D26CCE"/>
    <w:p w14:paraId="6F395EFE" w14:textId="77777777" w:rsidR="00D26CCE" w:rsidRPr="00D26CCE" w:rsidRDefault="00D26CCE" w:rsidP="00D26CCE"/>
    <w:p w14:paraId="6065E4AF" w14:textId="77777777" w:rsidR="00D26CCE" w:rsidRPr="00D26CCE" w:rsidRDefault="00D26CCE" w:rsidP="00D26CCE"/>
    <w:p w14:paraId="4EE40C18" w14:textId="77777777" w:rsidR="00D26CCE" w:rsidRPr="00D26CCE" w:rsidRDefault="00D26CCE" w:rsidP="00D26CCE"/>
    <w:p w14:paraId="262450C4" w14:textId="77777777" w:rsidR="00D26CCE" w:rsidRPr="00D26CCE" w:rsidRDefault="00D26CCE" w:rsidP="00D26CCE"/>
    <w:p w14:paraId="2BD3462F" w14:textId="77777777" w:rsidR="00D26CCE" w:rsidRPr="00D26CCE" w:rsidRDefault="00D26CCE" w:rsidP="00D26CCE"/>
    <w:p w14:paraId="39E01B9D" w14:textId="63383E9B" w:rsidR="00D26CCE" w:rsidRDefault="00D26CCE" w:rsidP="00D26CCE"/>
    <w:p w14:paraId="7FC6AFB9" w14:textId="77777777" w:rsidR="00AA74A7" w:rsidRDefault="00AA74A7" w:rsidP="00D26CCE"/>
    <w:p w14:paraId="78EF79F7" w14:textId="77777777" w:rsidR="00D26CCE" w:rsidRDefault="00D26CCE" w:rsidP="00D26CCE"/>
    <w:p w14:paraId="1626E71A" w14:textId="77777777" w:rsidR="00D26CCE" w:rsidRDefault="00D26CCE" w:rsidP="00D26CCE"/>
    <w:p w14:paraId="6D7C9959" w14:textId="77777777" w:rsidR="00D26CCE" w:rsidRDefault="00D26CCE" w:rsidP="00D26CCE"/>
    <w:p w14:paraId="6013E16B" w14:textId="77777777" w:rsidR="00D26CCE" w:rsidRDefault="00D26CCE" w:rsidP="00D26CCE"/>
    <w:p w14:paraId="75BBA9E6" w14:textId="77777777" w:rsidR="00D26CCE" w:rsidRDefault="00D26CCE" w:rsidP="00D26CCE"/>
    <w:p w14:paraId="3B71C934" w14:textId="77777777" w:rsidR="00D26CCE" w:rsidRDefault="00D26CCE" w:rsidP="00D26CCE"/>
    <w:p w14:paraId="1740920E" w14:textId="77777777" w:rsidR="00D26CCE" w:rsidRDefault="00D26CCE" w:rsidP="00D26CCE"/>
    <w:p w14:paraId="232FE579" w14:textId="77777777" w:rsidR="00D26CCE" w:rsidRDefault="00D26CCE" w:rsidP="00D26CCE"/>
    <w:p w14:paraId="3160A2CD" w14:textId="77777777" w:rsidR="00D26CCE" w:rsidRPr="00D26CCE" w:rsidRDefault="00D26CCE" w:rsidP="00D26CCE"/>
    <w:sectPr w:rsidR="00D26CCE" w:rsidRPr="00D26C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35577" w14:textId="77777777" w:rsidR="00C977A7" w:rsidRDefault="00C977A7" w:rsidP="00C67F10">
      <w:r>
        <w:separator/>
      </w:r>
    </w:p>
  </w:endnote>
  <w:endnote w:type="continuationSeparator" w:id="0">
    <w:p w14:paraId="352DA28D" w14:textId="77777777" w:rsidR="00C977A7" w:rsidRDefault="00C977A7" w:rsidP="00C6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 w:cs="Times New Roman"/>
            <w:sz w:val="14"/>
            <w:szCs w:val="22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 w:cs="Times New Roman"/>
            <w:sz w:val="14"/>
            <w:szCs w:val="22"/>
          </w:rPr>
          <w:fldChar w:fldCharType="separate"/>
        </w:r>
        <w:r w:rsidR="00DC425F" w:rsidRPr="00DC425F">
          <w:rPr>
            <w:rFonts w:ascii="Century Gothic" w:eastAsiaTheme="majorEastAsia" w:hAnsi="Century Gothic" w:cstheme="majorBidi"/>
            <w:noProof/>
            <w:sz w:val="18"/>
            <w:szCs w:val="28"/>
          </w:rPr>
          <w:t>1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C977A7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A4CFF" w14:textId="77777777" w:rsidR="00C977A7" w:rsidRDefault="00C977A7" w:rsidP="00C67F10">
      <w:r>
        <w:separator/>
      </w:r>
    </w:p>
  </w:footnote>
  <w:footnote w:type="continuationSeparator" w:id="0">
    <w:p w14:paraId="3448DB50" w14:textId="77777777" w:rsidR="00C977A7" w:rsidRDefault="00C977A7" w:rsidP="00C6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34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F1C9A"/>
    <w:rsid w:val="00196496"/>
    <w:rsid w:val="00290993"/>
    <w:rsid w:val="00414011"/>
    <w:rsid w:val="006C79D1"/>
    <w:rsid w:val="00725351"/>
    <w:rsid w:val="007B0376"/>
    <w:rsid w:val="00803F6B"/>
    <w:rsid w:val="00AA74A7"/>
    <w:rsid w:val="00C3253C"/>
    <w:rsid w:val="00C67F10"/>
    <w:rsid w:val="00C977A7"/>
    <w:rsid w:val="00CF394C"/>
    <w:rsid w:val="00D26CCE"/>
    <w:rsid w:val="00DC425F"/>
    <w:rsid w:val="00E47E52"/>
    <w:rsid w:val="00ED00C3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C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76C9-37A8-4BF0-8D05-9ADD8C31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Agata Siwek</cp:lastModifiedBy>
  <cp:revision>2</cp:revision>
  <cp:lastPrinted>2020-08-14T08:04:00Z</cp:lastPrinted>
  <dcterms:created xsi:type="dcterms:W3CDTF">2021-01-13T12:29:00Z</dcterms:created>
  <dcterms:modified xsi:type="dcterms:W3CDTF">2021-01-13T12:29:00Z</dcterms:modified>
</cp:coreProperties>
</file>